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2009 г. N 1140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СТАНДАРТОВ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КОММУНАЛЬНОГО КОМПЛЕКСА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17.01.2013 </w:t>
      </w:r>
      <w:hyperlink r:id="rId5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,</w:t>
      </w:r>
      <w:proofErr w:type="gramEnd"/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05.07.2013 </w:t>
      </w:r>
      <w:hyperlink r:id="rId6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>)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статей 3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Федерального закона "Об основах регулирования тарифов организаций коммунального комплекса" Правительство Российской Федерации постановляет: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05.07.2013 N 570)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05.07.2013 N 570)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г. N 1140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СТАНДАРТЫ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КОММУНАЛЬНОГО КОМПЛЕКСА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17.01.2013 </w:t>
      </w:r>
      <w:hyperlink r:id="rId11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,</w:t>
      </w:r>
      <w:proofErr w:type="gramEnd"/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05.07.2013 </w:t>
      </w:r>
      <w:hyperlink r:id="rId12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>)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 и порядок раскрытия информации организациями коммунального комплекса (далее - регулируемые организации).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05.07.2013 N 570)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к информации неограниченного круга лиц независимо от цели получения указанной информации.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опубликования в печатных средствах массовой информации, в которых в соответствии с законами субъектов Российской Федерации публикуются официальные материалы органов государственной власти, и (или) в печатных изданиях, в которых публикуются акты органов местного самоуправления, распространяемых в субъектах Российской Федерации и (или) муниципальных образованиях, на территории которых регулируемые организации осуществляют свою деятельность (далее - официальные печатные издания);</w:t>
      </w:r>
      <w:proofErr w:type="gramEnd"/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proofErr w:type="gramStart"/>
      <w:r>
        <w:rPr>
          <w:rFonts w:ascii="Calibri" w:hAnsi="Calibri" w:cs="Calibri"/>
        </w:rPr>
        <w:lastRenderedPageBreak/>
        <w:t>б) опубликования на официальном сайте в информационно-телекоммуникационной сети Интернет (далее - сеть Интернет) регулируемой организации, и (или)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контроль за соблюдением стандартов раскрытия информации, и (или) на ином официальном сайте в сети Интернет, определяемом Правительством Российской Федерации;</w:t>
      </w:r>
      <w:proofErr w:type="gramEnd"/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информации на основании письменных запросов потребителей товаров и услуг регулируемых организаций (далее соответственно - потребители, регулируемые товары и услуги).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Информация, подлежащая раскрытию в соответствии с настоящим документом, размещается регулируемой организацией на выбранных ею сайтах в сети Интернет из числа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документа и должна быть доступна в течение 5 лет.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организации обязаны сообщать по запросу потребителей адрес сайта в сети Интернет, на котором размещена информация, подлежащая раскрытию в соответствии с настоящим документом.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официальных печатных изданиях (со ссылкой на адрес сайта в сети Интернет, на котором информация размещается в полном объеме) подлежит опубликованию информация, указанная в пунктах </w:t>
      </w:r>
      <w:hyperlink w:anchor="Par92" w:history="1">
        <w:r>
          <w:rPr>
            <w:rFonts w:ascii="Calibri" w:hAnsi="Calibri" w:cs="Calibri"/>
            <w:color w:val="0000FF"/>
          </w:rPr>
          <w:t>56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17.01.2013 </w:t>
      </w:r>
      <w:hyperlink r:id="rId14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, от 05.07.2013 </w:t>
      </w:r>
      <w:hyperlink r:id="rId15" w:history="1">
        <w:r>
          <w:rPr>
            <w:rFonts w:ascii="Calibri" w:hAnsi="Calibri" w:cs="Calibri"/>
            <w:color w:val="0000FF"/>
          </w:rPr>
          <w:t>N 570</w:t>
        </w:r>
      </w:hyperlink>
      <w:r>
        <w:rPr>
          <w:rFonts w:ascii="Calibri" w:hAnsi="Calibri" w:cs="Calibri"/>
        </w:rPr>
        <w:t>)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территориях, на которых отсутствует доступ к сети Интернет, информация раскрывается путем ее опубликования в официальных печатных изданиях в полном объеме, а также путем предоставления информации на основании письменных запросов потребителей.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Регулируемые организации в течение 5 рабочих дней со дня опубликования информации в официальных печатных изданиях (размещения на сайте в сети Интернет) в соответствии с настоящим документом сообщают в орган исполнительной власти субъекта Российской Федерации (орган местного самоуправления), уполномоченный осуществлять контроль за соблюдением стандартов раскрытия информации, о раскрытии соответствующей информации с указанием официального печатного издания и (или) адреса сайта в сети</w:t>
      </w:r>
      <w:proofErr w:type="gramEnd"/>
      <w:r>
        <w:rPr>
          <w:rFonts w:ascii="Calibri" w:hAnsi="Calibri" w:cs="Calibri"/>
        </w:rPr>
        <w:t xml:space="preserve"> Интернет, которые используются для размещения этой информации.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раскрытия информации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стандартов раскрытия информации, сообщение о раскрытии соответствующей информации в этот орган исполнительной власти субъекта Российской Федерации и (или) орган местного самоуправления не направляется.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Регулируемые организации ведут учет письменных запросов потребителей, а также хранят копии ответов на такие запросы в течение 5 лет.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Перечень информации, подлежащей раскрытию в соответствии с настоящим документом, является исчерпывающим.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05.07.2013 N 570 утверждены </w:t>
      </w:r>
      <w:hyperlink r:id="rId16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теплоснабжающими организациями, теплосетевыми организациями и органами регулирования.</w:t>
      </w:r>
    </w:p>
    <w:p w:rsidR="002C2087" w:rsidRDefault="002C20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II. СТАНДАРТЫ РАСКРЫТИЯ ИНФОРМАЦИИ В СФЕРЕ ТЕПЛОСНАБЖЕНИЯ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СФЕРЕ ОКАЗАНИЯ УСЛУГ ПО ПЕРЕДАЧЕ ТЕПЛОВОЙ ЭНЕРГИИ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05.07.2013 N 570.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стандартах раскрытия информации в сфере водоснабжения и водоотведения см. Постановление Правительства РФ от 17.01.2013 N 6.</w:t>
      </w:r>
    </w:p>
    <w:p w:rsidR="002C2087" w:rsidRDefault="002C20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III. СТАНДАРТЫ РАСКРЫТИЯ ИНФОРМАЦИИ В СФЕРЕ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ГОРЯЧЕГО ВОДОСНАБЖЕНИЯ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IV. СТАНДАРТЫ РАСКРЫТИЯ ИНФОРМАЦИИ В СФЕРЕ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V. СТАНДАРТЫ РАСКРЫТИЯ ИНФОРМАЦИИ В СФЕРЕ ВОДООТВЕДЕНИЯ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ОЧИСТКИ СТОЧНЫХ ВОД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6.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VI. СТАНДАРТЫ РАСКРЫТИЯ ИНФОРМАЦИИ В СФЕРЕ УТИЛИЗАЦИИ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(ЗАХОРОНЕНИЯ) ТВЕРДЫХ БЫТОВЫХ ОТХОДОВ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 сфере утилизации (захоронения) твердых бытовых отходов раскрытию подлежит информация: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ценах (тарифах) на регулируемые товары и услуги и надбавках к этим ценам (тарифам);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инвестиционных программах и отчетах об их реализации.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56. Информация о ценах (тарифах) на регулируемые товары и услуги и надбавках к этим ценам (тарифам) содержит сведения: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утилизацию (захоронение) твердых бытовых отходов;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надбавках к ценам (тарифам) на утилизацию (захоронение) твердых бытовых отходов для потребителей;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надбавках к тарифам регулируемых организаций на утилизацию (захоронение) твердых бытовых отходов.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В отношении каждой из групп сведений, указанных в </w:t>
      </w:r>
      <w:hyperlink w:anchor="Par92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документа, указываются 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>58.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а) о виде регулируемой деятельности (утилизация твердых бытовых отходов, захоронение твердых бытовых отходов);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выручке от регулируемой деятельности (тыс. рублей);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себестоимости оказываемых услуг по регулируемому виду деятельности (тыс. рублей), включающей: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(цеховые) расходы, в том числе расходы на оплату труда и отчисления на социальные нужды;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(управленческие) расходы, в том числе расходы на оплату труда и отчисления на социальные нужды;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ремонт (капитальный и текущий) основных производственных средств;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услуги производственного характера, выполняемые по договорам с </w:t>
      </w:r>
      <w:r>
        <w:rPr>
          <w:rFonts w:ascii="Calibri" w:hAnsi="Calibri" w:cs="Calibri"/>
        </w:rPr>
        <w:lastRenderedPageBreak/>
        <w:t>организациями на проведение регламентных работ в рамках технологического процесса;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оказания услуг по регулируемому виду деятельности (тыс. рублей);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8"/>
      <w:bookmarkEnd w:id="13"/>
      <w:r>
        <w:rPr>
          <w:rFonts w:ascii="Calibri" w:hAnsi="Calibri" w:cs="Calibri"/>
        </w:rPr>
        <w:t>д)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организации, по развитию системы (объектов) утилизации твердых бытовых отходов (тыс. рублей);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изменении стоимости основных фондов, в том числе за счет ввода (вывода) из эксплуатации (тыс. рублей);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1"/>
      <w:bookmarkEnd w:id="14"/>
      <w:r>
        <w:rPr>
          <w:rFonts w:ascii="Calibri" w:hAnsi="Calibri" w:cs="Calibri"/>
        </w:rPr>
        <w:t>з) об объеме принятых на утилизацию (захоронение) твердых бытовых отходов (тыс. куб. м в год);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2"/>
      <w:bookmarkEnd w:id="15"/>
      <w:r>
        <w:rPr>
          <w:rFonts w:ascii="Calibri" w:hAnsi="Calibri" w:cs="Calibri"/>
        </w:rPr>
        <w:t>и) о среднесписочной численности основного производственного персонала (человек).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3"/>
      <w:bookmarkEnd w:id="16"/>
      <w:r>
        <w:rPr>
          <w:rFonts w:ascii="Calibri" w:hAnsi="Calibri" w:cs="Calibri"/>
        </w:rPr>
        <w:t>59. Информация об инвестиционных программах и отчетах об их реализации содержит наименование соответствующей программы, а также сведения: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а) о цели инвестиционной программы;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сроках начала и окончания реализации инвестиционной программы;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6"/>
      <w:bookmarkEnd w:id="18"/>
      <w:r>
        <w:rPr>
          <w:rFonts w:ascii="Calibri" w:hAnsi="Calibri" w:cs="Calibri"/>
        </w:rPr>
        <w:t>в)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7"/>
      <w:bookmarkEnd w:id="19"/>
      <w:r>
        <w:rPr>
          <w:rFonts w:ascii="Calibri" w:hAnsi="Calibri" w:cs="Calibri"/>
        </w:rPr>
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8"/>
      <w:bookmarkEnd w:id="20"/>
      <w:r>
        <w:rPr>
          <w:rFonts w:ascii="Calibri" w:hAnsi="Calibri" w:cs="Calibri"/>
        </w:rPr>
        <w:t>д)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В официальных печатных изданиях сведения,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18" w:history="1">
        <w:r>
          <w:rPr>
            <w:rFonts w:ascii="Calibri" w:hAnsi="Calibri" w:cs="Calibri"/>
            <w:color w:val="0000FF"/>
          </w:rPr>
          <w:t>"д" пункта 59</w:t>
        </w:r>
      </w:hyperlink>
      <w:r>
        <w:rPr>
          <w:rFonts w:ascii="Calibri" w:hAnsi="Calibri" w:cs="Calibri"/>
        </w:rPr>
        <w:t xml:space="preserve"> настоящего документа, публикуются в отношении мероприятий инвестиционной программы, доля </w:t>
      </w:r>
      <w:proofErr w:type="gramStart"/>
      <w:r>
        <w:rPr>
          <w:rFonts w:ascii="Calibri" w:hAnsi="Calibri" w:cs="Calibri"/>
        </w:rPr>
        <w:t>расходов</w:t>
      </w:r>
      <w:proofErr w:type="gramEnd"/>
      <w:r>
        <w:rPr>
          <w:rFonts w:ascii="Calibri" w:hAnsi="Calibri" w:cs="Calibri"/>
        </w:rPr>
        <w:t xml:space="preserve"> на реализацию которых превышает 5 процентов суммы финансирования инвестиционной программы за отчетный год.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20"/>
      <w:bookmarkEnd w:id="21"/>
      <w:r>
        <w:rPr>
          <w:rFonts w:ascii="Calibri" w:hAnsi="Calibri" w:cs="Calibri"/>
        </w:rPr>
        <w:t>61. Информация об условиях, на которых осуществляется оказание регулируемых услуг, содержит сведения об условиях публичных договоров поставок регулируемых товаров, оказания регулируемых услуг.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Информация, указанная в </w:t>
      </w:r>
      <w:hyperlink w:anchor="Par92" w:history="1">
        <w:r>
          <w:rPr>
            <w:rFonts w:ascii="Calibri" w:hAnsi="Calibri" w:cs="Calibri"/>
            <w:color w:val="0000FF"/>
          </w:rPr>
          <w:t>пунктах 56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92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08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112" w:history="1">
        <w:r>
          <w:rPr>
            <w:rFonts w:ascii="Calibri" w:hAnsi="Calibri" w:cs="Calibri"/>
            <w:color w:val="0000FF"/>
          </w:rPr>
          <w:t>"и" пункта 58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"г" пункта 59</w:t>
        </w:r>
      </w:hyperlink>
      <w:r>
        <w:rPr>
          <w:rFonts w:ascii="Calibri" w:hAnsi="Calibri" w:cs="Calibri"/>
        </w:rPr>
        <w:t xml:space="preserve"> настоящего документа,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регулирования.</w:t>
      </w:r>
      <w:proofErr w:type="gramEnd"/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97" w:history="1">
        <w:r>
          <w:rPr>
            <w:rFonts w:ascii="Calibri" w:hAnsi="Calibri" w:cs="Calibri"/>
            <w:color w:val="0000FF"/>
          </w:rPr>
          <w:t>пунктах 58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настоящего документа, </w:t>
      </w:r>
      <w:proofErr w:type="gramStart"/>
      <w:r>
        <w:rPr>
          <w:rFonts w:ascii="Calibri" w:hAnsi="Calibri" w:cs="Calibri"/>
        </w:rPr>
        <w:t>раскрывается регулируемой организацией не позднее 30 дней со дня сдачи годового бухгалтерского баланса в налоговые органы и должна</w:t>
      </w:r>
      <w:proofErr w:type="gramEnd"/>
      <w:r>
        <w:rPr>
          <w:rFonts w:ascii="Calibri" w:hAnsi="Calibri" w:cs="Calibri"/>
        </w:rPr>
        <w:t xml:space="preserve"> соответствовать годовой бухгалтерской отчетности за отчетный год.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с указанной в </w:t>
      </w:r>
      <w:hyperlink w:anchor="Par97" w:history="1">
        <w:r>
          <w:rPr>
            <w:rFonts w:ascii="Calibri" w:hAnsi="Calibri" w:cs="Calibri"/>
            <w:color w:val="0000FF"/>
          </w:rPr>
          <w:t>пункте 58</w:t>
        </w:r>
      </w:hyperlink>
      <w:r>
        <w:rPr>
          <w:rFonts w:ascii="Calibri" w:hAnsi="Calibri" w:cs="Calibri"/>
        </w:rPr>
        <w:t xml:space="preserve"> 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которых превышает 20 процентов суммы расходов по каждой из указанных статьей расходов.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27"/>
      <w:bookmarkEnd w:id="22"/>
      <w:r>
        <w:rPr>
          <w:rFonts w:ascii="Calibri" w:hAnsi="Calibri" w:cs="Calibri"/>
        </w:rPr>
        <w:t xml:space="preserve">VII. ПОРЯДОК РАСКРЫТИЯ ИНФОРМАЦИИ ПО </w:t>
      </w:r>
      <w:proofErr w:type="gramStart"/>
      <w:r>
        <w:rPr>
          <w:rFonts w:ascii="Calibri" w:hAnsi="Calibri" w:cs="Calibri"/>
        </w:rPr>
        <w:t>ПИСЬМЕННЫМ</w:t>
      </w:r>
      <w:proofErr w:type="gramEnd"/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ЗАПРОСАМ ПОТРЕБИТЕЛЕЙ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Предоставление информации осуществляется в письменной форме посредством направления в адрес потребителя почтового отправления либо выдачи лично потребителю по месту нахождения регулируемой организации.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>Потребитель в письменном запросе о предоставлении информации указывает регулируемую организацию, в которую направляет указанный запрос, а также свою фамилию, имя, отчество (наименование юридического лица), почтовый адрес, по которому должен быть направлен ответ, излагает суть заявления, подписывает запрос и проставляет дату, а также указывает способ получения запрашиваемой информации (посредством почтового отправления или выдачи лично потребителю).</w:t>
      </w:r>
      <w:proofErr w:type="gramEnd"/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Поступивший в адрес регулируемой организации письменный запрос о предоставлении информации подлежит регистрации в день его поступления в регулируемую организацию с присвоением ему регистрационного номера и проставлением штампа соответствующей организации.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Регулируемая организация не позднее 20 календарных дней со дня поступления запроса направляет раскрываемую в соответствии с настоящим документом информацию в адрес потребителя согласно избранному потребителем способу получения информации.</w:t>
      </w: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087" w:rsidRDefault="002C20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6991" w:rsidRDefault="00CC6991">
      <w:bookmarkStart w:id="23" w:name="_GoBack"/>
      <w:bookmarkEnd w:id="23"/>
    </w:p>
    <w:sectPr w:rsidR="00CC6991" w:rsidSect="006E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87"/>
    <w:rsid w:val="002C2087"/>
    <w:rsid w:val="00C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411BDBCA35E54717CE8EFAE2AB73E046124CBC38092CDE69BE398D2A1AEB084D784D9s61FH" TargetMode="External"/><Relationship Id="rId13" Type="http://schemas.openxmlformats.org/officeDocument/2006/relationships/hyperlink" Target="consultantplus://offline/ref=E01411BDBCA35E54717CE8EFAE2AB73E04612DCEC08892CDE69BE398D2A1AEB084D784DC6F5AF92FsE15H" TargetMode="External"/><Relationship Id="rId18" Type="http://schemas.openxmlformats.org/officeDocument/2006/relationships/hyperlink" Target="consultantplus://offline/ref=E01411BDBCA35E54717CE8EFAE2AB73E046124C7C98792CDE69BE398D2A1AEB084D784DC6F5AF827sE1D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01411BDBCA35E54717CE8EFAE2AB73E046124CBC38092CDE69BE398D2A1AEB084D784DFs61FH" TargetMode="External"/><Relationship Id="rId12" Type="http://schemas.openxmlformats.org/officeDocument/2006/relationships/hyperlink" Target="consultantplus://offline/ref=E01411BDBCA35E54717CE8EFAE2AB73E04612DCEC08892CDE69BE398D2A1AEB084D784DC6F5AF92FsE14H" TargetMode="External"/><Relationship Id="rId17" Type="http://schemas.openxmlformats.org/officeDocument/2006/relationships/hyperlink" Target="consultantplus://offline/ref=E01411BDBCA35E54717CE8EFAE2AB73E04612DCEC08892CDE69BE398D2A1AEB084D784DC6F5AF92FsE1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1411BDBCA35E54717CE8EFAE2AB73E04612DCEC08892CDE69BE398D2A1AEB084D784DC6F5AF826sE16H" TargetMode="External"/><Relationship Id="rId20" Type="http://schemas.openxmlformats.org/officeDocument/2006/relationships/hyperlink" Target="consultantplus://offline/ref=E01411BDBCA35E54717CE8EFAE2AB73E046124C7C98792CDE69BE398D2A1AEB084D784DC6F5AF827sE1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411BDBCA35E54717CE8EFAE2AB73E04612DCEC08892CDE69BE398D2A1AEB084D784DC6F5AF827sE13H" TargetMode="External"/><Relationship Id="rId11" Type="http://schemas.openxmlformats.org/officeDocument/2006/relationships/hyperlink" Target="consultantplus://offline/ref=E01411BDBCA35E54717CE8EFAE2AB73E046124C7C98792CDE69BE398D2A1AEB084D784DC6F5AF827sE13H" TargetMode="External"/><Relationship Id="rId5" Type="http://schemas.openxmlformats.org/officeDocument/2006/relationships/hyperlink" Target="consultantplus://offline/ref=E01411BDBCA35E54717CE8EFAE2AB73E046124C7C98792CDE69BE398D2A1AEB084D784DC6F5AF827sE13H" TargetMode="External"/><Relationship Id="rId15" Type="http://schemas.openxmlformats.org/officeDocument/2006/relationships/hyperlink" Target="consultantplus://offline/ref=E01411BDBCA35E54717CE8EFAE2AB73E04612DCEC08892CDE69BE398D2A1AEB084D784DC6F5AF92FsE16H" TargetMode="External"/><Relationship Id="rId10" Type="http://schemas.openxmlformats.org/officeDocument/2006/relationships/hyperlink" Target="consultantplus://offline/ref=E01411BDBCA35E54717CE8EFAE2AB73E04612DCEC08892CDE69BE398D2A1AEB084D784DC6F5AF920sE1DH" TargetMode="External"/><Relationship Id="rId19" Type="http://schemas.openxmlformats.org/officeDocument/2006/relationships/hyperlink" Target="consultantplus://offline/ref=E01411BDBCA35E54717CE8EFAE2AB73E046124C7C98792CDE69BE398D2A1AEB084D784DC6F5AF827sE1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E8EFAE2AB73E04612DCEC08892CDE69BE398D2A1AEB084D784DC6F5AF920sE1CH" TargetMode="External"/><Relationship Id="rId14" Type="http://schemas.openxmlformats.org/officeDocument/2006/relationships/hyperlink" Target="consultantplus://offline/ref=E01411BDBCA35E54717CE8EFAE2AB73E046124C7C98792CDE69BE398D2A1AEB084D784DC6F5AF827sE1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2375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2013-12-19T07:53:00Z</dcterms:created>
  <dcterms:modified xsi:type="dcterms:W3CDTF">2013-12-19T07:53:00Z</dcterms:modified>
</cp:coreProperties>
</file>